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（本文有删减）</w:t>
      </w:r>
    </w:p>
    <w:p>
      <w:pPr>
        <w:widowControl/>
        <w:spacing w:line="432" w:lineRule="auto"/>
        <w:ind w:firstLine="480"/>
        <w:rPr>
          <w:rFonts w:hint="eastAsia" w:ascii="宋体" w:hAnsi="宋体" w:eastAsia="宋体" w:cs="宋体"/>
          <w:color w:val="333333"/>
          <w:kern w:val="0"/>
          <w:sz w:val="24"/>
          <w:szCs w:val="24"/>
        </w:rPr>
      </w:pPr>
    </w:p>
    <w:p>
      <w:pPr>
        <w:widowControl/>
        <w:spacing w:line="432" w:lineRule="auto"/>
        <w:jc w:val="center"/>
        <w:rPr>
          <w:rFonts w:hint="eastAsia" w:ascii="宋体" w:hAnsi="宋体" w:eastAsia="宋体" w:cs="宋体"/>
          <w:color w:val="333333"/>
          <w:kern w:val="0"/>
          <w:sz w:val="24"/>
          <w:szCs w:val="24"/>
        </w:rPr>
      </w:pPr>
      <w:bookmarkStart w:id="0" w:name="_GoBack"/>
      <w:r>
        <w:rPr>
          <w:rFonts w:hint="eastAsia" w:ascii="宋体" w:hAnsi="宋体" w:eastAsia="宋体" w:cs="宋体"/>
          <w:b/>
          <w:bCs/>
          <w:color w:val="333333"/>
          <w:kern w:val="0"/>
          <w:sz w:val="36"/>
          <w:szCs w:val="36"/>
        </w:rPr>
        <w:t>国家教育事业发展“十</w:t>
      </w:r>
      <w:bookmarkEnd w:id="0"/>
      <w:r>
        <w:rPr>
          <w:rFonts w:hint="eastAsia" w:ascii="宋体" w:hAnsi="宋体" w:eastAsia="宋体" w:cs="宋体"/>
          <w:b/>
          <w:bCs/>
          <w:color w:val="333333"/>
          <w:kern w:val="0"/>
          <w:sz w:val="36"/>
          <w:szCs w:val="36"/>
        </w:rPr>
        <w:t>三五”规划</w:t>
      </w:r>
    </w:p>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一、以新理念引领教育现代化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（一）发展环境。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教育总体发展水平进入世界中上行列。</w:t>
      </w:r>
      <w:r>
        <w:rPr>
          <w:rFonts w:hint="eastAsia" w:ascii="宋体" w:hAnsi="宋体" w:eastAsia="宋体" w:cs="宋体"/>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教育公平取得重要进展。</w:t>
      </w:r>
      <w:r>
        <w:rPr>
          <w:rFonts w:hint="eastAsia" w:ascii="宋体" w:hAnsi="宋体" w:eastAsia="宋体" w:cs="宋体"/>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服务经济社会发展能力显著增强。</w:t>
      </w:r>
      <w:r>
        <w:rPr>
          <w:rFonts w:hint="eastAsia" w:ascii="宋体" w:hAnsi="宋体" w:eastAsia="宋体" w:cs="宋体"/>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教育发展能力显著提升。</w:t>
      </w:r>
      <w:r>
        <w:rPr>
          <w:rFonts w:hint="eastAsia" w:ascii="宋体" w:hAnsi="宋体" w:eastAsia="宋体" w:cs="宋体"/>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总体来看，《教育规划纲要》确定的阶段性目标如期实现，教育事业发展“十二五”规划圆满收官，我国教育进入提高质量、优化结构、促进公平的新阶段。</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344"/>
        <w:gridCol w:w="1559"/>
        <w:gridCol w:w="1559"/>
        <w:gridCol w:w="16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907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w:t>
            </w:r>
            <w:r>
              <w:rPr>
                <w:rFonts w:hint="eastAsia" w:ascii="宋体" w:hAnsi="宋体" w:eastAsia="宋体" w:cs="Calibri"/>
                <w:b/>
                <w:bCs/>
                <w:color w:val="333333"/>
                <w:kern w:val="0"/>
                <w:sz w:val="20"/>
                <w:szCs w:val="20"/>
              </w:rPr>
              <w:t>　教育事业发展“十二五”规划主要目标实现情况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指　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单　位</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“十二五”</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规划目标</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2015</w:t>
            </w:r>
            <w:r>
              <w:rPr>
                <w:rFonts w:hint="eastAsia" w:ascii="宋体" w:hAnsi="宋体" w:eastAsia="宋体" w:cs="Calibri"/>
                <w:b/>
                <w:bCs/>
                <w:color w:val="333333"/>
                <w:kern w:val="0"/>
                <w:sz w:val="20"/>
                <w:szCs w:val="20"/>
              </w:rPr>
              <w:t>年</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实现情况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学前教育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在园幼儿数</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学前三年毛入园率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3700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65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4265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75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九年义务教育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巩固率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16100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14004</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高中阶段教育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其中：中等职业教育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4500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2250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4038</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1657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7"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高等教育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在学总规模</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其中：研究生</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万人</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3350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3080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170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3647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3452</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191</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09" w:hRule="atLeast"/>
          <w:jc w:val="center"/>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人力资源开发</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新增劳动力平均受教育年限</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主要劳动年龄人口接受高等教育的比例</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年</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6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9</w:t>
            </w:r>
          </w:p>
        </w:tc>
      </w:tr>
    </w:tbl>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0"/>
          <w:szCs w:val="20"/>
        </w:rPr>
        <w:t>注：1.高等教育在校生含普通本专科、成人本专科和全日制研究生在校生。</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2.研究生数为全日制研究生在校生数。</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3.主要劳动年龄人口指20—59岁人口。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（二）指导思想。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（三）基本原则。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推进教育改革发展，实现更高质量、更加公平、更有效率、更可持续的发展，完成国家赋予的历史使命和战略任务，必须遵循以下基本原则：</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坚持优先发展。</w:t>
      </w:r>
      <w:r>
        <w:rPr>
          <w:rFonts w:hint="eastAsia" w:ascii="宋体" w:hAnsi="宋体" w:eastAsia="宋体" w:cs="宋体"/>
          <w:color w:val="333333"/>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坚持立德树人。</w:t>
      </w:r>
      <w:r>
        <w:rPr>
          <w:rFonts w:hint="eastAsia" w:ascii="宋体" w:hAnsi="宋体" w:eastAsia="宋体" w:cs="宋体"/>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坚持服务导向。</w:t>
      </w:r>
      <w:r>
        <w:rPr>
          <w:rFonts w:hint="eastAsia" w:ascii="宋体" w:hAnsi="宋体" w:eastAsia="宋体" w:cs="宋体"/>
          <w:color w:val="333333"/>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坚持促进公平。</w:t>
      </w:r>
      <w:r>
        <w:rPr>
          <w:rFonts w:hint="eastAsia" w:ascii="宋体" w:hAnsi="宋体" w:eastAsia="宋体" w:cs="宋体"/>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坚持改革创新。</w:t>
      </w:r>
      <w:r>
        <w:rPr>
          <w:rFonts w:hint="eastAsia" w:ascii="宋体" w:hAnsi="宋体" w:eastAsia="宋体" w:cs="宋体"/>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坚持依法治教。</w:t>
      </w:r>
      <w:r>
        <w:rPr>
          <w:rFonts w:hint="eastAsia" w:ascii="宋体" w:hAnsi="宋体" w:eastAsia="宋体" w:cs="宋体"/>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坚持党的领导。</w:t>
      </w:r>
      <w:r>
        <w:rPr>
          <w:rFonts w:hint="eastAsia" w:ascii="宋体" w:hAnsi="宋体" w:eastAsia="宋体" w:cs="宋体"/>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（四）主要目标。</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全民终身学习机会进一步扩大。</w:t>
      </w:r>
      <w:r>
        <w:rPr>
          <w:rFonts w:hint="eastAsia" w:ascii="宋体" w:hAnsi="宋体" w:eastAsia="宋体" w:cs="宋体"/>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教育质量全面提升。</w:t>
      </w:r>
      <w:r>
        <w:rPr>
          <w:rFonts w:hint="eastAsia" w:ascii="宋体" w:hAnsi="宋体" w:eastAsia="宋体" w:cs="宋体"/>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教育发展成果更公平地惠及全民。</w:t>
      </w:r>
      <w:r>
        <w:rPr>
          <w:rFonts w:hint="eastAsia" w:ascii="宋体" w:hAnsi="宋体" w:eastAsia="宋体" w:cs="宋体"/>
          <w:color w:val="333333"/>
          <w:kern w:val="0"/>
          <w:sz w:val="24"/>
          <w:szCs w:val="24"/>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人才供给和高校创新能力明显提升。</w:t>
      </w:r>
      <w:r>
        <w:rPr>
          <w:rFonts w:hint="eastAsia" w:ascii="宋体" w:hAnsi="宋体" w:eastAsia="宋体" w:cs="宋体"/>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教育体系制度更加成熟定型。</w:t>
      </w:r>
      <w:r>
        <w:rPr>
          <w:rFonts w:hint="eastAsia" w:ascii="宋体" w:hAnsi="宋体" w:eastAsia="宋体" w:cs="宋体"/>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87"/>
        <w:gridCol w:w="1660"/>
        <w:gridCol w:w="1661"/>
        <w:gridCol w:w="18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852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2</w:t>
            </w:r>
            <w:r>
              <w:rPr>
                <w:rFonts w:hint="eastAsia" w:ascii="宋体" w:hAnsi="宋体" w:eastAsia="宋体" w:cs="Calibri"/>
                <w:b/>
                <w:bCs/>
                <w:color w:val="333333"/>
                <w:kern w:val="0"/>
                <w:sz w:val="20"/>
                <w:szCs w:val="20"/>
              </w:rPr>
              <w:t>　教育事业发展和人力资源开发“十三五”主要目标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指　标</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2015</w:t>
            </w:r>
            <w:r>
              <w:rPr>
                <w:rFonts w:hint="eastAsia" w:ascii="宋体" w:hAnsi="宋体" w:eastAsia="宋体" w:cs="Calibri"/>
                <w:b/>
                <w:bCs/>
                <w:color w:val="333333"/>
                <w:kern w:val="0"/>
                <w:sz w:val="20"/>
                <w:szCs w:val="20"/>
              </w:rPr>
              <w:t>年</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b/>
                <w:bCs/>
                <w:color w:val="333333"/>
                <w:kern w:val="0"/>
                <w:sz w:val="20"/>
                <w:szCs w:val="20"/>
              </w:rPr>
              <w:t>2020</w:t>
            </w:r>
            <w:r>
              <w:rPr>
                <w:rFonts w:hint="eastAsia" w:ascii="宋体" w:hAnsi="宋体" w:eastAsia="宋体" w:cs="Calibri"/>
                <w:b/>
                <w:bCs/>
                <w:color w:val="333333"/>
                <w:kern w:val="0"/>
                <w:sz w:val="20"/>
                <w:szCs w:val="20"/>
              </w:rPr>
              <w:t>年</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属　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学前教育</w:t>
            </w:r>
          </w:p>
          <w:p>
            <w:pPr>
              <w:widowControl/>
              <w:spacing w:line="480" w:lineRule="auto"/>
              <w:ind w:left="199"/>
              <w:rPr>
                <w:rFonts w:ascii="Calibri" w:hAnsi="Calibri" w:eastAsia="宋体" w:cs="Calibri"/>
                <w:color w:val="333333"/>
                <w:kern w:val="0"/>
                <w:szCs w:val="21"/>
              </w:rPr>
            </w:pPr>
            <w:r>
              <w:rPr>
                <w:rFonts w:hint="eastAsia" w:ascii="宋体" w:hAnsi="宋体" w:eastAsia="宋体" w:cs="Calibri"/>
                <w:color w:val="333333"/>
                <w:kern w:val="0"/>
                <w:sz w:val="20"/>
                <w:szCs w:val="20"/>
              </w:rPr>
              <w:t>在园幼儿数（万人）</w:t>
            </w:r>
          </w:p>
          <w:p>
            <w:pPr>
              <w:widowControl/>
              <w:spacing w:line="480" w:lineRule="auto"/>
              <w:ind w:left="199"/>
              <w:rPr>
                <w:rFonts w:ascii="Calibri" w:hAnsi="Calibri" w:eastAsia="宋体" w:cs="Calibri"/>
                <w:color w:val="333333"/>
                <w:kern w:val="0"/>
                <w:szCs w:val="21"/>
              </w:rPr>
            </w:pPr>
            <w:r>
              <w:rPr>
                <w:rFonts w:hint="eastAsia" w:ascii="宋体" w:hAnsi="宋体" w:eastAsia="宋体" w:cs="Calibri"/>
                <w:color w:val="333333"/>
                <w:kern w:val="0"/>
                <w:sz w:val="20"/>
                <w:szCs w:val="20"/>
              </w:rPr>
              <w:t>学前三年毛入园率（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4265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75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4500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九年义务教育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巩固率（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14004</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15000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95</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约束性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高中阶段教育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其中：中等职业教育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4038</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1657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87</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4130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1870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90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 xml:space="preserve">0 </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高等教育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在学总规模（万人）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在校生（万人）</w:t>
            </w:r>
          </w:p>
          <w:p>
            <w:pPr>
              <w:widowControl/>
              <w:spacing w:line="480" w:lineRule="auto"/>
              <w:ind w:left="999" w:hanging="600"/>
              <w:rPr>
                <w:rFonts w:ascii="Calibri" w:hAnsi="Calibri" w:eastAsia="宋体" w:cs="Calibri"/>
                <w:color w:val="333333"/>
                <w:kern w:val="0"/>
                <w:szCs w:val="21"/>
              </w:rPr>
            </w:pPr>
            <w:r>
              <w:rPr>
                <w:rFonts w:hint="eastAsia" w:ascii="宋体" w:hAnsi="宋体" w:eastAsia="宋体" w:cs="Calibri"/>
                <w:color w:val="333333"/>
                <w:kern w:val="0"/>
                <w:sz w:val="20"/>
                <w:szCs w:val="20"/>
              </w:rPr>
              <w:t>其中：研究生（万人）（含全日制和非全日制研究生）</w:t>
            </w:r>
          </w:p>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其中：普通本专科（万人）</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毛入学率（</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3647</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3511</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250</w:t>
            </w:r>
            <w:r>
              <w:rPr>
                <w:rFonts w:hint="eastAsia" w:ascii="宋体" w:hAnsi="宋体" w:eastAsia="宋体" w:cs="Calibri"/>
                <w:color w:val="333333"/>
                <w:kern w:val="0"/>
                <w:sz w:val="20"/>
                <w:szCs w:val="20"/>
              </w:rPr>
              <w:t>［</w:t>
            </w:r>
            <w:r>
              <w:rPr>
                <w:rFonts w:ascii="Calibri" w:hAnsi="Calibri" w:eastAsia="宋体" w:cs="Calibri"/>
                <w:color w:val="333333"/>
                <w:kern w:val="0"/>
                <w:sz w:val="20"/>
                <w:szCs w:val="20"/>
              </w:rPr>
              <w:t>191</w:t>
            </w:r>
            <w:r>
              <w:rPr>
                <w:rFonts w:hint="eastAsia" w:ascii="宋体" w:hAnsi="宋体" w:eastAsia="宋体" w:cs="Calibri"/>
                <w:color w:val="333333"/>
                <w:kern w:val="0"/>
                <w:sz w:val="20"/>
                <w:szCs w:val="20"/>
              </w:rPr>
              <w:t>］</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2625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40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3850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3680</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290</w:t>
            </w:r>
            <w:r>
              <w:rPr>
                <w:rFonts w:hint="eastAsia" w:ascii="宋体" w:hAnsi="宋体" w:eastAsia="宋体" w:cs="Calibri"/>
                <w:color w:val="333333"/>
                <w:kern w:val="0"/>
                <w:sz w:val="20"/>
                <w:szCs w:val="20"/>
              </w:rPr>
              <w:t>［</w:t>
            </w:r>
            <w:r>
              <w:rPr>
                <w:rFonts w:ascii="Calibri" w:hAnsi="Calibri" w:eastAsia="宋体" w:cs="Calibri"/>
                <w:color w:val="333333"/>
                <w:kern w:val="0"/>
                <w:sz w:val="20"/>
                <w:szCs w:val="20"/>
              </w:rPr>
              <w:t>230</w:t>
            </w:r>
            <w:r>
              <w:rPr>
                <w:rFonts w:hint="eastAsia" w:ascii="宋体" w:hAnsi="宋体" w:eastAsia="宋体" w:cs="Calibri"/>
                <w:color w:val="333333"/>
                <w:kern w:val="0"/>
                <w:sz w:val="20"/>
                <w:szCs w:val="20"/>
              </w:rPr>
              <w:t>］</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2655</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50</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继续教育</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从业人员继续教育（万人次）</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35000</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5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人力资源开发</w:t>
            </w:r>
          </w:p>
          <w:p>
            <w:pPr>
              <w:widowControl/>
              <w:spacing w:line="480" w:lineRule="auto"/>
              <w:ind w:firstLine="200"/>
              <w:rPr>
                <w:rFonts w:ascii="Calibri" w:hAnsi="Calibri" w:eastAsia="宋体" w:cs="Calibri"/>
                <w:color w:val="333333"/>
                <w:kern w:val="0"/>
                <w:szCs w:val="21"/>
              </w:rPr>
            </w:pPr>
            <w:r>
              <w:rPr>
                <w:rFonts w:hint="eastAsia" w:ascii="宋体" w:hAnsi="宋体" w:eastAsia="宋体" w:cs="Calibri"/>
                <w:color w:val="333333"/>
                <w:kern w:val="0"/>
                <w:sz w:val="20"/>
                <w:szCs w:val="20"/>
              </w:rPr>
              <w:t>新增劳动力平均受教育年限（年）</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3</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13</w:t>
            </w:r>
            <w:r>
              <w:rPr>
                <w:rFonts w:hint="eastAsia" w:ascii="MingLiU_HKSCS" w:hAnsi="MingLiU_HKSCS" w:eastAsia="MingLiU_HKSCS" w:cs="Calibri"/>
                <w:color w:val="333333"/>
                <w:kern w:val="0"/>
                <w:sz w:val="20"/>
                <w:szCs w:val="20"/>
              </w:rPr>
              <w:t>.</w:t>
            </w:r>
            <w:r>
              <w:rPr>
                <w:rFonts w:ascii="Calibri" w:hAnsi="Calibri" w:eastAsia="宋体" w:cs="Calibri"/>
                <w:color w:val="333333"/>
                <w:kern w:val="0"/>
                <w:sz w:val="20"/>
                <w:szCs w:val="20"/>
              </w:rPr>
              <w:t>5</w:t>
            </w:r>
          </w:p>
        </w:tc>
        <w:tc>
          <w:tcPr>
            <w:tcW w:w="17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ascii="Calibri" w:hAnsi="Calibri" w:eastAsia="宋体" w:cs="Calibri"/>
                <w:color w:val="333333"/>
                <w:kern w:val="0"/>
                <w:sz w:val="20"/>
                <w:szCs w:val="20"/>
              </w:rPr>
              <w:t> </w:t>
            </w:r>
          </w:p>
          <w:p>
            <w:pPr>
              <w:widowControl/>
              <w:spacing w:line="480" w:lineRule="auto"/>
              <w:jc w:val="center"/>
              <w:rPr>
                <w:rFonts w:ascii="Calibri" w:hAnsi="Calibri" w:eastAsia="宋体" w:cs="Calibri"/>
                <w:color w:val="333333"/>
                <w:kern w:val="0"/>
                <w:szCs w:val="21"/>
              </w:rPr>
            </w:pPr>
            <w:r>
              <w:rPr>
                <w:rFonts w:hint="eastAsia" w:ascii="宋体" w:hAnsi="宋体" w:eastAsia="宋体" w:cs="Calibri"/>
                <w:color w:val="333333"/>
                <w:kern w:val="0"/>
                <w:sz w:val="20"/>
                <w:szCs w:val="20"/>
              </w:rPr>
              <w:t>预期性</w:t>
            </w:r>
          </w:p>
        </w:tc>
      </w:tr>
    </w:tbl>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0"/>
          <w:szCs w:val="20"/>
        </w:rPr>
        <w:t>注：1.高等教育在校生含普通本专科、成人本专科、全日制和非全日制研究生在校生。</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　　2.［　］内为全日制研究生在校生数。</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（五）主题主线。</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二、全面落实立德树人根本任务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（一）提升学生思想道德水平。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57" w:hRule="atLeast"/>
          <w:jc w:val="center"/>
        </w:trPr>
        <w:tc>
          <w:tcPr>
            <w:tcW w:w="852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3</w:t>
            </w:r>
            <w:r>
              <w:rPr>
                <w:rFonts w:hint="eastAsia" w:ascii="宋体" w:hAnsi="宋体" w:eastAsia="宋体" w:cs="Calibri"/>
                <w:b/>
                <w:bCs/>
                <w:color w:val="333333"/>
                <w:kern w:val="0"/>
                <w:sz w:val="20"/>
                <w:szCs w:val="20"/>
              </w:rPr>
              <w:t>　落实立德树人根本任务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61" w:hRule="atLeast"/>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ind w:firstLine="400"/>
              <w:rPr>
                <w:rFonts w:ascii="Calibri" w:hAnsi="Calibri" w:eastAsia="宋体" w:cs="Calibri"/>
                <w:color w:val="333333"/>
                <w:kern w:val="0"/>
                <w:szCs w:val="21"/>
              </w:rPr>
            </w:pPr>
            <w:r>
              <w:rPr>
                <w:rFonts w:hint="eastAsia" w:ascii="宋体" w:hAnsi="宋体" w:eastAsia="宋体" w:cs="Calibri"/>
                <w:color w:val="333333"/>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（二）培养学生创新创业精神与能力。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（三）强化学生实践动手能力。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（四）塑造学生强健体魄。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（五）提高学生文化修养。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（六）增强学生生态文明素养。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（七）提高学生综合国防素质。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三、改革创新驱动教育发展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（一）着力推进教育教学改革。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（二）深化考试招生制度改革。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（三）激发学校办学活力。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（四）统筹推进世界一流大学和一流学科建设。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pPr>
        <w:widowControl/>
        <w:spacing w:line="432" w:lineRule="auto"/>
        <w:ind w:firstLine="480"/>
        <w:rPr>
          <w:rFonts w:hint="eastAsia" w:ascii="宋体" w:hAnsi="宋体" w:eastAsia="宋体" w:cs="宋体"/>
          <w:color w:val="333333"/>
          <w:kern w:val="0"/>
          <w:sz w:val="24"/>
          <w:szCs w:val="24"/>
        </w:rPr>
      </w:pPr>
    </w:p>
    <w:tbl>
      <w:tblPr>
        <w:tblStyle w:val="2"/>
        <w:tblW w:w="90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0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852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4</w:t>
            </w:r>
            <w:r>
              <w:rPr>
                <w:rFonts w:hint="eastAsia" w:ascii="宋体" w:hAnsi="宋体" w:eastAsia="宋体" w:cs="Calibri"/>
                <w:b/>
                <w:bCs/>
                <w:color w:val="333333"/>
                <w:kern w:val="0"/>
                <w:sz w:val="20"/>
                <w:szCs w:val="20"/>
              </w:rPr>
              <w:t>　世界一流大学和一流学科建设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53" w:hRule="atLeast"/>
          <w:jc w:val="center"/>
        </w:trPr>
        <w:tc>
          <w:tcPr>
            <w:tcW w:w="85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auto"/>
              <w:ind w:firstLine="400"/>
              <w:rPr>
                <w:rFonts w:hint="eastAsia" w:ascii="Calibri" w:hAnsi="Calibri" w:eastAsia="宋体" w:cs="Calibri"/>
                <w:color w:val="333333"/>
                <w:kern w:val="0"/>
                <w:szCs w:val="21"/>
              </w:rPr>
            </w:pPr>
            <w:r>
              <w:rPr>
                <w:rFonts w:hint="eastAsia" w:ascii="宋体" w:hAnsi="宋体" w:eastAsia="宋体" w:cs="Calibri"/>
                <w:color w:val="333333"/>
                <w:kern w:val="0"/>
                <w:sz w:val="20"/>
                <w:szCs w:val="20"/>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Pr>
                <w:rFonts w:ascii="Calibri" w:hAnsi="Calibri" w:eastAsia="宋体" w:cs="Calibri"/>
                <w:color w:val="333333"/>
                <w:kern w:val="0"/>
                <w:sz w:val="20"/>
                <w:szCs w:val="20"/>
              </w:rPr>
              <w:t>100</w:t>
            </w:r>
            <w:r>
              <w:rPr>
                <w:rFonts w:hint="eastAsia" w:ascii="宋体" w:hAnsi="宋体" w:eastAsia="宋体" w:cs="Calibri"/>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（五）强化高校创新体系建设。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5</w:t>
            </w:r>
            <w:r>
              <w:rPr>
                <w:rFonts w:hint="eastAsia" w:ascii="宋体" w:hAnsi="宋体" w:eastAsia="宋体" w:cs="Calibri"/>
                <w:b/>
                <w:bCs/>
                <w:color w:val="333333"/>
                <w:kern w:val="0"/>
                <w:sz w:val="20"/>
                <w:szCs w:val="20"/>
              </w:rPr>
              <w:t>　中国特色新型高校智库建设推进计划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（六）促进和规范民办教育发展。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（七）积极发展“互联网+教育”。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6</w:t>
            </w:r>
            <w:r>
              <w:rPr>
                <w:rFonts w:hint="eastAsia" w:ascii="宋体" w:hAnsi="宋体" w:eastAsia="宋体" w:cs="Calibri"/>
                <w:b/>
                <w:bCs/>
                <w:color w:val="333333"/>
                <w:kern w:val="0"/>
                <w:sz w:val="20"/>
                <w:szCs w:val="20"/>
              </w:rPr>
              <w:t>　推进“互联网</w:t>
            </w:r>
            <w:r>
              <w:rPr>
                <w:rFonts w:ascii="Calibri" w:hAnsi="Calibri" w:eastAsia="宋体" w:cs="Calibri"/>
                <w:b/>
                <w:bCs/>
                <w:color w:val="333333"/>
                <w:kern w:val="0"/>
                <w:sz w:val="20"/>
                <w:szCs w:val="20"/>
              </w:rPr>
              <w:t>+</w:t>
            </w:r>
            <w:r>
              <w:rPr>
                <w:rFonts w:hint="eastAsia" w:ascii="宋体" w:hAnsi="宋体" w:eastAsia="宋体" w:cs="Calibri"/>
                <w:b/>
                <w:bCs/>
                <w:color w:val="333333"/>
                <w:kern w:val="0"/>
                <w:sz w:val="20"/>
                <w:szCs w:val="20"/>
              </w:rPr>
              <w:t>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继续推进“三通两平台”建设与应用，推进数字教育资源普遍开放共享。面向教育发展落后地区和特殊人群，提供公益性数字教育资源服务。加快教育大数据建设与开放共享。发展现代远程教育和在线教育，实施“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教育培训”行动，支持“互联网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教育”教学新模式，发展“互联网</w:t>
            </w:r>
            <w:r>
              <w:rPr>
                <w:rFonts w:ascii="Calibri" w:hAnsi="Calibri" w:eastAsia="宋体" w:cs="Calibri"/>
                <w:color w:val="333333"/>
                <w:kern w:val="0"/>
                <w:sz w:val="20"/>
                <w:szCs w:val="20"/>
              </w:rPr>
              <w:t>+</w:t>
            </w:r>
            <w:r>
              <w:rPr>
                <w:rFonts w:hint="eastAsia" w:ascii="宋体" w:hAnsi="宋体" w:eastAsia="宋体" w:cs="Calibri"/>
                <w:color w:val="333333"/>
                <w:kern w:val="0"/>
                <w:sz w:val="20"/>
                <w:szCs w:val="20"/>
              </w:rPr>
              <w:t>教育”服务新业态。</w:t>
            </w:r>
          </w:p>
        </w:tc>
      </w:tr>
    </w:tbl>
    <w:p>
      <w:pPr>
        <w:widowControl/>
        <w:spacing w:line="432" w:lineRule="auto"/>
        <w:rPr>
          <w:rFonts w:hint="eastAsia" w:ascii="Calibri" w:hAnsi="Calibri" w:eastAsia="宋体" w:cs="Calibri"/>
          <w:color w:val="333333"/>
          <w:kern w:val="0"/>
          <w:szCs w:val="21"/>
        </w:rPr>
      </w:pPr>
    </w:p>
    <w:p>
      <w:pPr>
        <w:widowControl/>
        <w:spacing w:line="432" w:lineRule="auto"/>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四、协调推进教育结构调整</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（一）推进区域教育协调发展。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（二）优化城乡基础教育布局。</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（三）加快发展现代职业教育。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7</w:t>
            </w:r>
            <w:r>
              <w:rPr>
                <w:rFonts w:hint="eastAsia" w:ascii="宋体" w:hAnsi="宋体" w:eastAsia="宋体" w:cs="Calibri"/>
                <w:b/>
                <w:bCs/>
                <w:color w:val="333333"/>
                <w:kern w:val="0"/>
                <w:sz w:val="20"/>
                <w:szCs w:val="20"/>
              </w:rPr>
              <w:t>　高水平职业学校建设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围绕深化产教融合、校企合作、工学结合主线，支持</w:t>
            </w:r>
            <w:r>
              <w:rPr>
                <w:rFonts w:ascii="Calibri" w:hAnsi="Calibri" w:eastAsia="宋体" w:cs="Calibri"/>
                <w:color w:val="333333"/>
                <w:kern w:val="0"/>
                <w:sz w:val="20"/>
                <w:szCs w:val="20"/>
              </w:rPr>
              <w:t>100</w:t>
            </w:r>
            <w:r>
              <w:rPr>
                <w:rFonts w:hint="eastAsia" w:ascii="宋体" w:hAnsi="宋体" w:eastAsia="宋体" w:cs="Calibri"/>
                <w:color w:val="333333"/>
                <w:kern w:val="0"/>
                <w:sz w:val="20"/>
                <w:szCs w:val="20"/>
              </w:rPr>
              <w:t>所左右高等职业学校和</w:t>
            </w:r>
            <w:r>
              <w:rPr>
                <w:rFonts w:ascii="Calibri" w:hAnsi="Calibri" w:eastAsia="宋体" w:cs="Calibri"/>
                <w:color w:val="333333"/>
                <w:kern w:val="0"/>
                <w:sz w:val="20"/>
                <w:szCs w:val="20"/>
              </w:rPr>
              <w:t>1000</w:t>
            </w:r>
            <w:r>
              <w:rPr>
                <w:rFonts w:hint="eastAsia" w:ascii="宋体" w:hAnsi="宋体" w:eastAsia="宋体" w:cs="Calibri"/>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（四）调整高等教育结构。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8</w:t>
            </w:r>
            <w:r>
              <w:rPr>
                <w:rFonts w:hint="eastAsia" w:ascii="宋体" w:hAnsi="宋体" w:eastAsia="宋体" w:cs="Calibri"/>
                <w:b/>
                <w:bCs/>
                <w:color w:val="333333"/>
                <w:kern w:val="0"/>
                <w:sz w:val="20"/>
                <w:szCs w:val="20"/>
              </w:rPr>
              <w:t>　应用型本科高校建设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（五）大力发展继续教育。</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9</w:t>
            </w:r>
            <w:r>
              <w:rPr>
                <w:rFonts w:hint="eastAsia" w:ascii="宋体" w:hAnsi="宋体" w:eastAsia="宋体" w:cs="Calibri"/>
                <w:b/>
                <w:bCs/>
                <w:color w:val="333333"/>
                <w:kern w:val="0"/>
                <w:sz w:val="20"/>
                <w:szCs w:val="20"/>
              </w:rPr>
              <w:t>　建立学分银行和信息化平台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10</w:t>
            </w:r>
            <w:r>
              <w:rPr>
                <w:rFonts w:hint="eastAsia" w:ascii="宋体" w:hAnsi="宋体" w:eastAsia="宋体" w:cs="Calibri"/>
                <w:b/>
                <w:bCs/>
                <w:color w:val="333333"/>
                <w:kern w:val="0"/>
                <w:sz w:val="20"/>
                <w:szCs w:val="20"/>
              </w:rPr>
              <w:t>　发展继续教育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Pr>
                <w:rFonts w:ascii="Calibri" w:hAnsi="Calibri" w:eastAsia="宋体" w:cs="Calibri"/>
                <w:color w:val="333333"/>
                <w:kern w:val="0"/>
                <w:sz w:val="20"/>
                <w:szCs w:val="20"/>
              </w:rPr>
              <w:t>150</w:t>
            </w:r>
            <w:r>
              <w:rPr>
                <w:rFonts w:hint="eastAsia" w:ascii="宋体" w:hAnsi="宋体" w:eastAsia="宋体" w:cs="Calibri"/>
                <w:color w:val="333333"/>
                <w:kern w:val="0"/>
                <w:sz w:val="20"/>
                <w:szCs w:val="20"/>
              </w:rPr>
              <w:t>万名符合入学条件的农民工接受本、专科学历继续教育。</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（六）加快培养现代产业急需人才。</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11</w:t>
            </w:r>
            <w:r>
              <w:rPr>
                <w:rFonts w:hint="eastAsia" w:ascii="宋体" w:hAnsi="宋体" w:eastAsia="宋体" w:cs="Calibri"/>
                <w:b/>
                <w:bCs/>
                <w:color w:val="333333"/>
                <w:kern w:val="0"/>
                <w:sz w:val="20"/>
                <w:szCs w:val="20"/>
              </w:rPr>
              <w:t>　服务现代产业的新兴学科专业集群建设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五、协同营造良好育人生态</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（一）优化校园育人环境。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（二）改善社会育人环境。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（三）构建教育诚信环境。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（四）建立科学评价体系。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（五）建设绿色校园。</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六、统筹推动教育开放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（一）优化教育对外开放布局。</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12</w:t>
            </w:r>
            <w:r>
              <w:rPr>
                <w:rFonts w:hint="eastAsia" w:ascii="宋体" w:hAnsi="宋体" w:eastAsia="宋体" w:cs="Calibri"/>
                <w:b/>
                <w:bCs/>
                <w:color w:val="333333"/>
                <w:kern w:val="0"/>
                <w:sz w:val="20"/>
                <w:szCs w:val="20"/>
              </w:rPr>
              <w:t>　推进共建“一带一路”教育行动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（二）提升教育开放层次和水平。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（三）积极参与全球教育治理。</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（四）统筹推进中外人文交流。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（五）深化内地和港澳、大陆和台湾地区教育合作交流。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七、全面提升教育发展共享水平</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（一）打赢教育脱贫攻坚战。</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13</w:t>
            </w:r>
            <w:r>
              <w:rPr>
                <w:rFonts w:hint="eastAsia" w:ascii="宋体" w:hAnsi="宋体" w:eastAsia="宋体" w:cs="Calibri"/>
                <w:b/>
                <w:bCs/>
                <w:color w:val="333333"/>
                <w:kern w:val="0"/>
                <w:sz w:val="20"/>
                <w:szCs w:val="20"/>
              </w:rPr>
              <w:t>　教育脱贫攻坚行动计划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省级政府统筹学前教育资金向贫困县倾斜。支持各地</w:t>
            </w:r>
            <w:r>
              <w:rPr>
                <w:rFonts w:ascii="Calibri" w:hAnsi="Calibri" w:eastAsia="宋体" w:cs="Calibri"/>
                <w:color w:val="333333"/>
                <w:kern w:val="0"/>
                <w:sz w:val="20"/>
                <w:szCs w:val="20"/>
              </w:rPr>
              <w:t>2017</w:t>
            </w:r>
            <w:r>
              <w:rPr>
                <w:rFonts w:hint="eastAsia" w:ascii="宋体" w:hAnsi="宋体" w:eastAsia="宋体" w:cs="Calibri"/>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（二）促进义务教育均衡优质发展。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（三）加快发展学前教育。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（四）普及高中阶段教育。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（五）加快发展民族教育。</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pPr>
        <w:widowControl/>
        <w:spacing w:after="240"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14</w:t>
            </w:r>
            <w:r>
              <w:rPr>
                <w:rFonts w:hint="eastAsia" w:ascii="宋体" w:hAnsi="宋体" w:eastAsia="宋体" w:cs="Calibri"/>
                <w:b/>
                <w:bCs/>
                <w:color w:val="333333"/>
                <w:kern w:val="0"/>
                <w:sz w:val="20"/>
                <w:szCs w:val="20"/>
              </w:rPr>
              <w:t>　支持民族教育发展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（六）保障困难群体受教育权利。</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（七）大力促进高校毕业生就业创业。</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15</w:t>
            </w:r>
            <w:r>
              <w:rPr>
                <w:rFonts w:hint="eastAsia" w:ascii="宋体" w:hAnsi="宋体" w:eastAsia="宋体" w:cs="Calibri"/>
                <w:b/>
                <w:bCs/>
                <w:color w:val="333333"/>
                <w:kern w:val="0"/>
                <w:sz w:val="20"/>
                <w:szCs w:val="20"/>
              </w:rPr>
              <w:t>　提升基本公共教育服务能力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Pr>
                <w:rFonts w:ascii="Calibri" w:hAnsi="Calibri" w:eastAsia="宋体" w:cs="Calibri"/>
                <w:color w:val="333333"/>
                <w:kern w:val="0"/>
                <w:sz w:val="20"/>
                <w:szCs w:val="20"/>
              </w:rPr>
              <w:t>30</w:t>
            </w:r>
            <w:r>
              <w:rPr>
                <w:rFonts w:hint="eastAsia" w:ascii="宋体" w:hAnsi="宋体" w:eastAsia="宋体" w:cs="Calibri"/>
                <w:color w:val="333333"/>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八、着力加强教师队伍建设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（一）加强师德师风建设。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（二）提升教师能力素质。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（三）吸引一流人才从教。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（四）优化教师资源配置。</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（五）完善教师管理制度。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pPr>
        <w:widowControl/>
        <w:spacing w:line="432" w:lineRule="auto"/>
        <w:ind w:firstLine="480"/>
        <w:rPr>
          <w:rFonts w:hint="eastAsia" w:ascii="宋体" w:hAnsi="宋体" w:eastAsia="宋体" w:cs="宋体"/>
          <w:color w:val="333333"/>
          <w:kern w:val="0"/>
          <w:sz w:val="24"/>
          <w:szCs w:val="24"/>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jc w:val="center"/>
              <w:rPr>
                <w:rFonts w:ascii="Calibri" w:hAnsi="Calibri" w:eastAsia="宋体" w:cs="Calibri"/>
                <w:color w:val="333333"/>
                <w:kern w:val="0"/>
                <w:szCs w:val="21"/>
              </w:rPr>
            </w:pPr>
            <w:r>
              <w:rPr>
                <w:rFonts w:hint="eastAsia" w:ascii="宋体" w:hAnsi="宋体" w:eastAsia="宋体" w:cs="Calibri"/>
                <w:b/>
                <w:bCs/>
                <w:color w:val="333333"/>
                <w:kern w:val="0"/>
                <w:sz w:val="20"/>
                <w:szCs w:val="20"/>
              </w:rPr>
              <w:t>专栏</w:t>
            </w:r>
            <w:r>
              <w:rPr>
                <w:rFonts w:ascii="Calibri" w:hAnsi="Calibri" w:eastAsia="宋体" w:cs="Calibri"/>
                <w:b/>
                <w:bCs/>
                <w:color w:val="333333"/>
                <w:kern w:val="0"/>
                <w:sz w:val="20"/>
                <w:szCs w:val="20"/>
              </w:rPr>
              <w:t>16</w:t>
            </w:r>
            <w:r>
              <w:rPr>
                <w:rFonts w:hint="eastAsia" w:ascii="宋体" w:hAnsi="宋体" w:eastAsia="宋体" w:cs="Calibri"/>
                <w:b/>
                <w:bCs/>
                <w:color w:val="333333"/>
                <w:kern w:val="0"/>
                <w:sz w:val="20"/>
                <w:szCs w:val="20"/>
              </w:rPr>
              <w:t>　加强教师队伍建设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07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80" w:lineRule="auto"/>
              <w:rPr>
                <w:rFonts w:ascii="Calibri" w:hAnsi="Calibri" w:eastAsia="宋体" w:cs="Calibri"/>
                <w:color w:val="333333"/>
                <w:kern w:val="0"/>
                <w:szCs w:val="21"/>
              </w:rPr>
            </w:pPr>
            <w:r>
              <w:rPr>
                <w:rFonts w:hint="eastAsia" w:ascii="宋体" w:hAnsi="宋体" w:eastAsia="宋体" w:cs="Calibri"/>
                <w:color w:val="333333"/>
                <w:kern w:val="0"/>
                <w:sz w:val="20"/>
                <w:szCs w:val="20"/>
              </w:rPr>
              <w:t>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pPr>
        <w:widowControl/>
        <w:spacing w:line="432" w:lineRule="auto"/>
        <w:ind w:firstLine="480"/>
        <w:rPr>
          <w:rFonts w:hint="eastAsia" w:ascii="宋体" w:hAnsi="宋体" w:eastAsia="宋体" w:cs="宋体"/>
          <w:color w:val="333333"/>
          <w:kern w:val="0"/>
          <w:sz w:val="24"/>
          <w:szCs w:val="24"/>
        </w:rPr>
      </w:pP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九、加快推进教育治理现代化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（一）推进政府职能转变。</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（二）构建有效监管体系。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（三）全面推进依法治教。</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（四）完善教育投入机制。</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十、加强和改进教育系统党的建设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（一）落实全面从严治党主体责任。</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（二）加强教育系统思想政治建设。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（三）加强基层党组织和党员队伍建设。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（四）加强教育系统党风廉政建设。</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十一、组织实施</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（一）落实责任分工。</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（二）协同实施规划。</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（三）鼓励探索创新。</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pPr>
        <w:widowControl/>
        <w:spacing w:line="432" w:lineRule="auto"/>
        <w:ind w:firstLine="480"/>
        <w:rPr>
          <w:rFonts w:hint="eastAsia" w:ascii="宋体" w:hAnsi="宋体" w:eastAsia="宋体" w:cs="宋体"/>
          <w:color w:val="333333"/>
          <w:kern w:val="0"/>
          <w:sz w:val="24"/>
          <w:szCs w:val="24"/>
        </w:rPr>
      </w:pPr>
      <w:r>
        <w:rPr>
          <w:rFonts w:hint="eastAsia" w:ascii="楷体" w:hAnsi="楷体" w:eastAsia="楷体" w:cs="宋体"/>
          <w:color w:val="333333"/>
          <w:kern w:val="0"/>
          <w:sz w:val="24"/>
          <w:szCs w:val="24"/>
        </w:rPr>
        <w:t>（四）加强督促检查。</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pPr>
        <w:widowControl/>
        <w:spacing w:line="432"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C6"/>
    <w:rsid w:val="00B161C6"/>
    <w:rsid w:val="00F200C4"/>
    <w:rsid w:val="3887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6371</Words>
  <Characters>36318</Characters>
  <Lines>302</Lines>
  <Paragraphs>85</Paragraphs>
  <TotalTime>8</TotalTime>
  <ScaleCrop>false</ScaleCrop>
  <LinksUpToDate>false</LinksUpToDate>
  <CharactersWithSpaces>42604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2017-01-20T00:01:00Z</dcterms:created>
  <dc:creator>dell</dc:creator>
  <cp:lastModifiedBy>蜜思</cp:lastModifiedBy>
  <dcterms:modified xsi:type="dcterms:W3CDTF">2021-01-28T06:36:35Z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